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A6C05" w14:textId="77777777" w:rsidR="00C41057" w:rsidRDefault="00AB0E84" w:rsidP="00C41057">
      <w:pPr>
        <w:jc w:val="center"/>
        <w:rPr>
          <w:sz w:val="28"/>
          <w:szCs w:val="28"/>
        </w:rPr>
      </w:pPr>
      <w:r>
        <w:rPr>
          <w:b/>
          <w:sz w:val="28"/>
          <w:szCs w:val="28"/>
          <w:u w:val="single"/>
        </w:rPr>
        <w:t>STANDING ADMINISTRATIVE ORDER</w:t>
      </w:r>
      <w:r w:rsidR="00C41057">
        <w:rPr>
          <w:sz w:val="28"/>
          <w:szCs w:val="28"/>
        </w:rPr>
        <w:t xml:space="preserve">: </w:t>
      </w:r>
    </w:p>
    <w:p w14:paraId="725727AD" w14:textId="3E9FA6C9" w:rsidR="0033402D" w:rsidRPr="00C41057" w:rsidRDefault="0033402D" w:rsidP="00C41057">
      <w:pPr>
        <w:jc w:val="center"/>
        <w:rPr>
          <w:sz w:val="28"/>
          <w:szCs w:val="28"/>
          <w:u w:val="single"/>
        </w:rPr>
      </w:pPr>
      <w:r w:rsidRPr="00C41057">
        <w:rPr>
          <w:b/>
          <w:sz w:val="27"/>
          <w:u w:val="single"/>
        </w:rPr>
        <w:t>ELECTRONIC FILING (E-FILING)</w:t>
      </w:r>
      <w:r w:rsidR="003555FE">
        <w:rPr>
          <w:b/>
          <w:sz w:val="27"/>
          <w:u w:val="single"/>
        </w:rPr>
        <w:t xml:space="preserve">       April 22, 2025</w:t>
      </w:r>
    </w:p>
    <w:p w14:paraId="149A1282" w14:textId="77777777" w:rsidR="0033402D" w:rsidRDefault="0033402D" w:rsidP="0033402D">
      <w:pPr>
        <w:pStyle w:val="ListParagraph"/>
        <w:widowControl w:val="0"/>
        <w:numPr>
          <w:ilvl w:val="0"/>
          <w:numId w:val="2"/>
        </w:numPr>
        <w:tabs>
          <w:tab w:val="left" w:pos="632"/>
        </w:tabs>
        <w:autoSpaceDE w:val="0"/>
        <w:autoSpaceDN w:val="0"/>
        <w:spacing w:before="267"/>
        <w:contextualSpacing w:val="0"/>
        <w:jc w:val="both"/>
      </w:pPr>
      <w:r>
        <w:rPr>
          <w:spacing w:val="-3"/>
        </w:rPr>
        <w:t>Definitions</w:t>
      </w:r>
    </w:p>
    <w:p w14:paraId="75C4C609" w14:textId="77777777" w:rsidR="0033402D" w:rsidRDefault="0033402D" w:rsidP="0033402D">
      <w:pPr>
        <w:pStyle w:val="BodyText"/>
        <w:spacing w:before="4"/>
      </w:pPr>
    </w:p>
    <w:p w14:paraId="18EE4C0C" w14:textId="77777777" w:rsidR="0033402D" w:rsidRDefault="0033402D" w:rsidP="0033402D">
      <w:pPr>
        <w:pStyle w:val="ListParagraph"/>
        <w:widowControl w:val="0"/>
        <w:numPr>
          <w:ilvl w:val="1"/>
          <w:numId w:val="2"/>
        </w:numPr>
        <w:tabs>
          <w:tab w:val="left" w:pos="1296"/>
        </w:tabs>
        <w:autoSpaceDE w:val="0"/>
        <w:autoSpaceDN w:val="0"/>
        <w:spacing w:line="237" w:lineRule="auto"/>
        <w:ind w:right="601" w:firstLine="0"/>
        <w:contextualSpacing w:val="0"/>
      </w:pPr>
      <w:r>
        <w:t>Original</w:t>
      </w:r>
      <w:r>
        <w:rPr>
          <w:spacing w:val="-4"/>
        </w:rPr>
        <w:t xml:space="preserve"> </w:t>
      </w:r>
      <w:r>
        <w:t>Document:</w:t>
      </w:r>
      <w:r>
        <w:rPr>
          <w:spacing w:val="-3"/>
        </w:rPr>
        <w:t xml:space="preserve"> </w:t>
      </w:r>
      <w:r>
        <w:t>the</w:t>
      </w:r>
      <w:r>
        <w:rPr>
          <w:spacing w:val="-7"/>
        </w:rPr>
        <w:t xml:space="preserve"> </w:t>
      </w:r>
      <w:r>
        <w:t>electronic</w:t>
      </w:r>
      <w:r>
        <w:rPr>
          <w:spacing w:val="-8"/>
        </w:rPr>
        <w:t xml:space="preserve"> </w:t>
      </w:r>
      <w:r>
        <w:t>document</w:t>
      </w:r>
      <w:r>
        <w:rPr>
          <w:spacing w:val="-3"/>
        </w:rPr>
        <w:t xml:space="preserve"> </w:t>
      </w:r>
      <w:r>
        <w:t>received</w:t>
      </w:r>
      <w:r>
        <w:rPr>
          <w:spacing w:val="-4"/>
        </w:rPr>
        <w:t xml:space="preserve"> </w:t>
      </w:r>
      <w:r>
        <w:t>by</w:t>
      </w:r>
      <w:r>
        <w:rPr>
          <w:spacing w:val="-13"/>
        </w:rPr>
        <w:t xml:space="preserve"> </w:t>
      </w:r>
      <w:r>
        <w:t>the</w:t>
      </w:r>
      <w:r>
        <w:rPr>
          <w:spacing w:val="-5"/>
        </w:rPr>
        <w:t xml:space="preserve"> </w:t>
      </w:r>
      <w:r>
        <w:t>clerk</w:t>
      </w:r>
      <w:r>
        <w:rPr>
          <w:spacing w:val="-3"/>
        </w:rPr>
        <w:t xml:space="preserve"> </w:t>
      </w:r>
      <w:r>
        <w:t>from</w:t>
      </w:r>
      <w:r>
        <w:rPr>
          <w:spacing w:val="-3"/>
        </w:rPr>
        <w:t xml:space="preserve"> </w:t>
      </w:r>
      <w:r>
        <w:t xml:space="preserve">the </w:t>
      </w:r>
      <w:r>
        <w:rPr>
          <w:spacing w:val="-3"/>
        </w:rPr>
        <w:t>filer.</w:t>
      </w:r>
    </w:p>
    <w:p w14:paraId="08E816BE" w14:textId="77777777" w:rsidR="0033402D" w:rsidRDefault="0033402D" w:rsidP="0033402D">
      <w:pPr>
        <w:pStyle w:val="BodyText"/>
        <w:spacing w:before="6"/>
      </w:pPr>
    </w:p>
    <w:p w14:paraId="4ABD3B35" w14:textId="77777777" w:rsidR="0033402D" w:rsidRDefault="0033402D" w:rsidP="0033402D">
      <w:pPr>
        <w:pStyle w:val="ListParagraph"/>
        <w:widowControl w:val="0"/>
        <w:numPr>
          <w:ilvl w:val="1"/>
          <w:numId w:val="2"/>
        </w:numPr>
        <w:tabs>
          <w:tab w:val="left" w:pos="1296"/>
        </w:tabs>
        <w:autoSpaceDE w:val="0"/>
        <w:autoSpaceDN w:val="0"/>
        <w:spacing w:after="240"/>
        <w:ind w:left="959" w:right="265" w:firstLine="0"/>
        <w:contextualSpacing w:val="0"/>
      </w:pPr>
      <w:r>
        <w:t>Electronic Filing (e-filing): the process by which an attorney or self- represented individual submits documents with the Court by means of an online electronic</w:t>
      </w:r>
      <w:r>
        <w:rPr>
          <w:spacing w:val="-6"/>
        </w:rPr>
        <w:t xml:space="preserve"> </w:t>
      </w:r>
      <w:r>
        <w:t>transmission</w:t>
      </w:r>
      <w:r>
        <w:rPr>
          <w:spacing w:val="-4"/>
        </w:rPr>
        <w:t xml:space="preserve"> </w:t>
      </w:r>
      <w:r>
        <w:t>of</w:t>
      </w:r>
      <w:r>
        <w:rPr>
          <w:spacing w:val="-7"/>
        </w:rPr>
        <w:t xml:space="preserve"> </w:t>
      </w:r>
      <w:r>
        <w:t>the</w:t>
      </w:r>
      <w:r>
        <w:rPr>
          <w:spacing w:val="-7"/>
        </w:rPr>
        <w:t xml:space="preserve"> </w:t>
      </w:r>
      <w:r>
        <w:t>document</w:t>
      </w:r>
      <w:r>
        <w:rPr>
          <w:spacing w:val="-3"/>
        </w:rPr>
        <w:t xml:space="preserve"> </w:t>
      </w:r>
      <w:r>
        <w:t>through</w:t>
      </w:r>
      <w:r>
        <w:rPr>
          <w:spacing w:val="-1"/>
        </w:rPr>
        <w:t xml:space="preserve"> </w:t>
      </w:r>
      <w:r>
        <w:t>a</w:t>
      </w:r>
      <w:r>
        <w:rPr>
          <w:spacing w:val="-3"/>
        </w:rPr>
        <w:t xml:space="preserve"> </w:t>
      </w:r>
      <w:r>
        <w:t>portal</w:t>
      </w:r>
      <w:r>
        <w:rPr>
          <w:spacing w:val="-3"/>
        </w:rPr>
        <w:t xml:space="preserve"> </w:t>
      </w:r>
      <w:r>
        <w:t>operated</w:t>
      </w:r>
      <w:r>
        <w:rPr>
          <w:spacing w:val="-4"/>
        </w:rPr>
        <w:t xml:space="preserve"> </w:t>
      </w:r>
      <w:r>
        <w:t>by</w:t>
      </w:r>
      <w:r>
        <w:rPr>
          <w:spacing w:val="-13"/>
        </w:rPr>
        <w:t xml:space="preserve"> </w:t>
      </w:r>
      <w:r>
        <w:t>an</w:t>
      </w:r>
      <w:r>
        <w:rPr>
          <w:spacing w:val="-4"/>
        </w:rPr>
        <w:t xml:space="preserve"> </w:t>
      </w:r>
      <w:r>
        <w:t>electronic filing manager designated by the</w:t>
      </w:r>
      <w:r>
        <w:rPr>
          <w:spacing w:val="-11"/>
        </w:rPr>
        <w:t xml:space="preserve"> </w:t>
      </w:r>
      <w:r>
        <w:t>Court.</w:t>
      </w:r>
    </w:p>
    <w:p w14:paraId="58954555" w14:textId="77777777" w:rsidR="0033402D" w:rsidRDefault="0033402D" w:rsidP="0033402D">
      <w:pPr>
        <w:pStyle w:val="ListParagraph"/>
        <w:widowControl w:val="0"/>
        <w:numPr>
          <w:ilvl w:val="1"/>
          <w:numId w:val="2"/>
        </w:numPr>
        <w:tabs>
          <w:tab w:val="left" w:pos="1296"/>
        </w:tabs>
        <w:autoSpaceDE w:val="0"/>
        <w:autoSpaceDN w:val="0"/>
        <w:spacing w:before="64" w:after="240"/>
        <w:ind w:left="959" w:right="315" w:firstLine="0"/>
        <w:contextualSpacing w:val="0"/>
      </w:pPr>
      <w:r>
        <w:t>Electronic</w:t>
      </w:r>
      <w:r>
        <w:rPr>
          <w:spacing w:val="-8"/>
        </w:rPr>
        <w:t xml:space="preserve"> </w:t>
      </w:r>
      <w:r>
        <w:t>Signature:</w:t>
      </w:r>
      <w:r>
        <w:rPr>
          <w:spacing w:val="-1"/>
        </w:rPr>
        <w:t xml:space="preserve"> </w:t>
      </w:r>
      <w:r>
        <w:t>an</w:t>
      </w:r>
      <w:r>
        <w:rPr>
          <w:spacing w:val="-4"/>
        </w:rPr>
        <w:t xml:space="preserve"> </w:t>
      </w:r>
      <w:r>
        <w:t>electronic</w:t>
      </w:r>
      <w:r>
        <w:rPr>
          <w:spacing w:val="-5"/>
        </w:rPr>
        <w:t xml:space="preserve"> </w:t>
      </w:r>
      <w:r>
        <w:t>identifier</w:t>
      </w:r>
      <w:r>
        <w:rPr>
          <w:spacing w:val="-7"/>
        </w:rPr>
        <w:t xml:space="preserve"> </w:t>
      </w:r>
      <w:r>
        <w:t>intended</w:t>
      </w:r>
      <w:r>
        <w:rPr>
          <w:spacing w:val="-4"/>
        </w:rPr>
        <w:t xml:space="preserve"> </w:t>
      </w:r>
      <w:r>
        <w:t>by</w:t>
      </w:r>
      <w:r>
        <w:rPr>
          <w:spacing w:val="-13"/>
        </w:rPr>
        <w:t xml:space="preserve"> </w:t>
      </w:r>
      <w:r>
        <w:t>the</w:t>
      </w:r>
      <w:r>
        <w:rPr>
          <w:spacing w:val="-5"/>
        </w:rPr>
        <w:t xml:space="preserve"> </w:t>
      </w:r>
      <w:r>
        <w:t>person</w:t>
      </w:r>
      <w:r>
        <w:rPr>
          <w:spacing w:val="-4"/>
        </w:rPr>
        <w:t xml:space="preserve"> </w:t>
      </w:r>
      <w:r>
        <w:t>using</w:t>
      </w:r>
      <w:r>
        <w:rPr>
          <w:spacing w:val="-11"/>
        </w:rPr>
        <w:t xml:space="preserve"> </w:t>
      </w:r>
      <w:r>
        <w:t>it</w:t>
      </w:r>
      <w:r>
        <w:rPr>
          <w:spacing w:val="-1"/>
        </w:rPr>
        <w:t xml:space="preserve"> </w:t>
      </w:r>
      <w:r>
        <w:t>to have the same force and effect as a manual signature. An electronically</w:t>
      </w:r>
      <w:r>
        <w:rPr>
          <w:spacing w:val="-38"/>
        </w:rPr>
        <w:t xml:space="preserve"> </w:t>
      </w:r>
      <w:r>
        <w:t>submitted document issued or received by the Court is considered signed if an electronic signature is included on the document. An electronic signature must include at least one of the</w:t>
      </w:r>
      <w:r>
        <w:rPr>
          <w:spacing w:val="-4"/>
        </w:rPr>
        <w:t xml:space="preserve"> </w:t>
      </w:r>
      <w:r>
        <w:t>following:</w:t>
      </w:r>
    </w:p>
    <w:p w14:paraId="7191A8FD" w14:textId="68F4DE7D" w:rsidR="0033402D" w:rsidRDefault="0033402D" w:rsidP="0033402D">
      <w:pPr>
        <w:pStyle w:val="ListParagraph"/>
        <w:widowControl w:val="0"/>
        <w:numPr>
          <w:ilvl w:val="2"/>
          <w:numId w:val="2"/>
        </w:numPr>
        <w:tabs>
          <w:tab w:val="left" w:pos="1284"/>
        </w:tabs>
        <w:autoSpaceDE w:val="0"/>
        <w:autoSpaceDN w:val="0"/>
        <w:spacing w:before="5" w:line="237" w:lineRule="auto"/>
        <w:ind w:left="959" w:right="697" w:firstLine="0"/>
        <w:contextualSpacing w:val="0"/>
      </w:pPr>
      <w:r>
        <w:t>“/s/”</w:t>
      </w:r>
      <w:r>
        <w:rPr>
          <w:spacing w:val="-5"/>
        </w:rPr>
        <w:t xml:space="preserve"> </w:t>
      </w:r>
      <w:r>
        <w:t>and</w:t>
      </w:r>
      <w:r>
        <w:rPr>
          <w:spacing w:val="-4"/>
        </w:rPr>
        <w:t xml:space="preserve"> </w:t>
      </w:r>
      <w:r>
        <w:t>the</w:t>
      </w:r>
      <w:r>
        <w:rPr>
          <w:spacing w:val="-6"/>
        </w:rPr>
        <w:t xml:space="preserve"> </w:t>
      </w:r>
      <w:r>
        <w:t>name</w:t>
      </w:r>
      <w:r>
        <w:rPr>
          <w:spacing w:val="-7"/>
        </w:rPr>
        <w:t xml:space="preserve"> </w:t>
      </w:r>
      <w:r>
        <w:t>typed in</w:t>
      </w:r>
      <w:r>
        <w:rPr>
          <w:spacing w:val="-4"/>
        </w:rPr>
        <w:t xml:space="preserve"> </w:t>
      </w:r>
      <w:r>
        <w:t>the</w:t>
      </w:r>
      <w:r>
        <w:rPr>
          <w:spacing w:val="-6"/>
        </w:rPr>
        <w:t xml:space="preserve"> </w:t>
      </w:r>
      <w:r>
        <w:t>space</w:t>
      </w:r>
      <w:r>
        <w:rPr>
          <w:spacing w:val="-2"/>
        </w:rPr>
        <w:t xml:space="preserve"> </w:t>
      </w:r>
      <w:r>
        <w:t>where</w:t>
      </w:r>
      <w:r>
        <w:rPr>
          <w:spacing w:val="-7"/>
        </w:rPr>
        <w:t xml:space="preserve"> </w:t>
      </w:r>
      <w:r>
        <w:t>the</w:t>
      </w:r>
      <w:r>
        <w:rPr>
          <w:spacing w:val="-6"/>
        </w:rPr>
        <w:t xml:space="preserve"> </w:t>
      </w:r>
      <w:r>
        <w:t>signature</w:t>
      </w:r>
      <w:r>
        <w:rPr>
          <w:spacing w:val="-7"/>
        </w:rPr>
        <w:t xml:space="preserve"> </w:t>
      </w:r>
      <w:r>
        <w:t>would</w:t>
      </w:r>
      <w:r>
        <w:rPr>
          <w:spacing w:val="-3"/>
        </w:rPr>
        <w:t xml:space="preserve"> </w:t>
      </w:r>
      <w:r>
        <w:t>otherwise appear (this form of electronic signature may be used only by attorneys licensed to practice law in the State of Ohio);</w:t>
      </w:r>
      <w:r>
        <w:rPr>
          <w:spacing w:val="-1"/>
        </w:rPr>
        <w:t xml:space="preserve"> </w:t>
      </w:r>
      <w:r>
        <w:t>or</w:t>
      </w:r>
    </w:p>
    <w:p w14:paraId="7C0CED50" w14:textId="77777777" w:rsidR="0033402D" w:rsidRDefault="0033402D" w:rsidP="0033402D">
      <w:pPr>
        <w:pStyle w:val="BodyText"/>
        <w:spacing w:before="6"/>
      </w:pPr>
    </w:p>
    <w:p w14:paraId="16F91C90" w14:textId="77777777" w:rsidR="0033402D" w:rsidRDefault="0033402D" w:rsidP="0033402D">
      <w:pPr>
        <w:pStyle w:val="ListParagraph"/>
        <w:widowControl w:val="0"/>
        <w:numPr>
          <w:ilvl w:val="2"/>
          <w:numId w:val="2"/>
        </w:numPr>
        <w:tabs>
          <w:tab w:val="left" w:pos="1296"/>
        </w:tabs>
        <w:autoSpaceDE w:val="0"/>
        <w:autoSpaceDN w:val="0"/>
        <w:ind w:left="1296" w:hanging="337"/>
        <w:contextualSpacing w:val="0"/>
      </w:pPr>
      <w:r>
        <w:t>an electronic image or scanned image of the individual’s</w:t>
      </w:r>
      <w:r>
        <w:rPr>
          <w:spacing w:val="-16"/>
        </w:rPr>
        <w:t xml:space="preserve"> </w:t>
      </w:r>
      <w:r>
        <w:rPr>
          <w:spacing w:val="-3"/>
        </w:rPr>
        <w:t>signature.</w:t>
      </w:r>
    </w:p>
    <w:p w14:paraId="6DC97596" w14:textId="77777777" w:rsidR="0033402D" w:rsidRDefault="0033402D" w:rsidP="0033402D">
      <w:pPr>
        <w:pStyle w:val="BodyText"/>
        <w:spacing w:before="2"/>
      </w:pPr>
    </w:p>
    <w:p w14:paraId="64B0DAF3" w14:textId="77777777" w:rsidR="0033402D" w:rsidRDefault="0033402D" w:rsidP="0033402D">
      <w:pPr>
        <w:pStyle w:val="ListParagraph"/>
        <w:widowControl w:val="0"/>
        <w:numPr>
          <w:ilvl w:val="1"/>
          <w:numId w:val="2"/>
        </w:numPr>
        <w:tabs>
          <w:tab w:val="left" w:pos="1296"/>
        </w:tabs>
        <w:autoSpaceDE w:val="0"/>
        <w:autoSpaceDN w:val="0"/>
        <w:ind w:left="959" w:right="726" w:firstLine="0"/>
        <w:contextualSpacing w:val="0"/>
      </w:pPr>
      <w:r>
        <w:t>E-services</w:t>
      </w:r>
      <w:r>
        <w:rPr>
          <w:spacing w:val="-4"/>
        </w:rPr>
        <w:t xml:space="preserve"> </w:t>
      </w:r>
      <w:r>
        <w:t>platform:</w:t>
      </w:r>
      <w:r>
        <w:rPr>
          <w:spacing w:val="-3"/>
        </w:rPr>
        <w:t xml:space="preserve"> </w:t>
      </w:r>
      <w:r>
        <w:t>the</w:t>
      </w:r>
      <w:r>
        <w:rPr>
          <w:spacing w:val="-5"/>
        </w:rPr>
        <w:t xml:space="preserve"> </w:t>
      </w:r>
      <w:r>
        <w:t>program</w:t>
      </w:r>
      <w:r>
        <w:rPr>
          <w:spacing w:val="-2"/>
        </w:rPr>
        <w:t xml:space="preserve"> </w:t>
      </w:r>
      <w:r>
        <w:t>used</w:t>
      </w:r>
      <w:r>
        <w:rPr>
          <w:spacing w:val="-4"/>
        </w:rPr>
        <w:t xml:space="preserve"> </w:t>
      </w:r>
      <w:r>
        <w:t>by</w:t>
      </w:r>
      <w:r>
        <w:rPr>
          <w:spacing w:val="-16"/>
        </w:rPr>
        <w:t xml:space="preserve"> </w:t>
      </w:r>
      <w:r>
        <w:t>the</w:t>
      </w:r>
      <w:r>
        <w:rPr>
          <w:spacing w:val="-4"/>
        </w:rPr>
        <w:t xml:space="preserve"> </w:t>
      </w:r>
      <w:r>
        <w:t>Juvenile</w:t>
      </w:r>
      <w:r>
        <w:rPr>
          <w:spacing w:val="-7"/>
        </w:rPr>
        <w:t xml:space="preserve"> </w:t>
      </w:r>
      <w:r>
        <w:t>Court</w:t>
      </w:r>
      <w:r>
        <w:rPr>
          <w:spacing w:val="-3"/>
        </w:rPr>
        <w:t xml:space="preserve"> </w:t>
      </w:r>
      <w:r>
        <w:t>to</w:t>
      </w:r>
      <w:r>
        <w:rPr>
          <w:spacing w:val="-4"/>
        </w:rPr>
        <w:t xml:space="preserve"> </w:t>
      </w:r>
      <w:r>
        <w:t>support</w:t>
      </w:r>
      <w:r>
        <w:rPr>
          <w:spacing w:val="-2"/>
        </w:rPr>
        <w:t xml:space="preserve"> </w:t>
      </w:r>
      <w:r>
        <w:t>its electronic filings and other electronic services, including</w:t>
      </w:r>
      <w:r>
        <w:rPr>
          <w:spacing w:val="-9"/>
        </w:rPr>
        <w:t xml:space="preserve"> </w:t>
      </w:r>
      <w:r>
        <w:t>e-pay.</w:t>
      </w:r>
    </w:p>
    <w:p w14:paraId="6FCC8600" w14:textId="77777777" w:rsidR="0033402D" w:rsidRDefault="0033402D" w:rsidP="0033402D">
      <w:pPr>
        <w:pStyle w:val="BodyText"/>
        <w:spacing w:before="5"/>
      </w:pPr>
    </w:p>
    <w:p w14:paraId="143D9328" w14:textId="77777777" w:rsidR="0033402D" w:rsidRDefault="0033402D" w:rsidP="0033402D">
      <w:pPr>
        <w:pStyle w:val="ListParagraph"/>
        <w:widowControl w:val="0"/>
        <w:numPr>
          <w:ilvl w:val="1"/>
          <w:numId w:val="2"/>
        </w:numPr>
        <w:tabs>
          <w:tab w:val="left" w:pos="1296"/>
        </w:tabs>
        <w:autoSpaceDE w:val="0"/>
        <w:autoSpaceDN w:val="0"/>
        <w:ind w:left="959" w:right="700" w:firstLine="0"/>
        <w:contextualSpacing w:val="0"/>
        <w:jc w:val="both"/>
      </w:pPr>
      <w:r>
        <w:t>Filer: an individual or authorized agent who e-files. Registration as a filer constitutes</w:t>
      </w:r>
      <w:r>
        <w:rPr>
          <w:spacing w:val="-4"/>
        </w:rPr>
        <w:t xml:space="preserve"> </w:t>
      </w:r>
      <w:r>
        <w:t>consent</w:t>
      </w:r>
      <w:r>
        <w:rPr>
          <w:spacing w:val="-3"/>
        </w:rPr>
        <w:t xml:space="preserve"> </w:t>
      </w:r>
      <w:r>
        <w:t>to</w:t>
      </w:r>
      <w:r>
        <w:rPr>
          <w:spacing w:val="-4"/>
        </w:rPr>
        <w:t xml:space="preserve"> </w:t>
      </w:r>
      <w:r>
        <w:t>accept</w:t>
      </w:r>
      <w:r>
        <w:rPr>
          <w:spacing w:val="-3"/>
        </w:rPr>
        <w:t xml:space="preserve"> </w:t>
      </w:r>
      <w:r>
        <w:t>electronic</w:t>
      </w:r>
      <w:r>
        <w:rPr>
          <w:spacing w:val="-7"/>
        </w:rPr>
        <w:t xml:space="preserve"> </w:t>
      </w:r>
      <w:r>
        <w:t>service</w:t>
      </w:r>
      <w:r>
        <w:rPr>
          <w:spacing w:val="-6"/>
        </w:rPr>
        <w:t xml:space="preserve"> </w:t>
      </w:r>
      <w:r>
        <w:t>of</w:t>
      </w:r>
      <w:r>
        <w:rPr>
          <w:spacing w:val="-2"/>
        </w:rPr>
        <w:t xml:space="preserve"> </w:t>
      </w:r>
      <w:r>
        <w:t>any</w:t>
      </w:r>
      <w:r>
        <w:rPr>
          <w:spacing w:val="-14"/>
        </w:rPr>
        <w:t xml:space="preserve"> </w:t>
      </w:r>
      <w:r>
        <w:t>pleadings</w:t>
      </w:r>
      <w:r>
        <w:rPr>
          <w:spacing w:val="-4"/>
        </w:rPr>
        <w:t xml:space="preserve"> </w:t>
      </w:r>
      <w:r>
        <w:t>filed</w:t>
      </w:r>
      <w:r>
        <w:rPr>
          <w:spacing w:val="-4"/>
        </w:rPr>
        <w:t xml:space="preserve"> </w:t>
      </w:r>
      <w:r>
        <w:t>by</w:t>
      </w:r>
      <w:r>
        <w:rPr>
          <w:spacing w:val="-15"/>
        </w:rPr>
        <w:t xml:space="preserve"> </w:t>
      </w:r>
      <w:r>
        <w:t>other registered filers as well as any orders issued by the</w:t>
      </w:r>
      <w:r>
        <w:rPr>
          <w:spacing w:val="-11"/>
        </w:rPr>
        <w:t xml:space="preserve"> </w:t>
      </w:r>
      <w:r>
        <w:t>Court.</w:t>
      </w:r>
    </w:p>
    <w:p w14:paraId="19432167" w14:textId="77777777" w:rsidR="0033402D" w:rsidRDefault="0033402D" w:rsidP="0033402D">
      <w:pPr>
        <w:pStyle w:val="BodyText"/>
        <w:spacing w:before="5"/>
      </w:pPr>
    </w:p>
    <w:p w14:paraId="3F6524EA" w14:textId="77777777" w:rsidR="0033402D" w:rsidRDefault="0033402D" w:rsidP="0033402D">
      <w:pPr>
        <w:pStyle w:val="BodyText"/>
        <w:ind w:left="959" w:right="216"/>
      </w:pPr>
      <w:r>
        <w:t>6) Technical failure: a malfunction of the e-services or any county-owned or leased hardware, software, or telecommunications equipment, plus any other issue under control of the Court or the Delaware County Information Technology Department that results in the inability of a filer to file a document.</w:t>
      </w:r>
    </w:p>
    <w:p w14:paraId="2645FD33" w14:textId="77777777" w:rsidR="0033402D" w:rsidRDefault="0033402D" w:rsidP="0033402D">
      <w:pPr>
        <w:pStyle w:val="BodyText"/>
        <w:spacing w:before="5"/>
      </w:pPr>
    </w:p>
    <w:p w14:paraId="660F5F59" w14:textId="77777777" w:rsidR="0033402D" w:rsidRDefault="0033402D" w:rsidP="0033402D">
      <w:pPr>
        <w:pStyle w:val="ListParagraph"/>
        <w:widowControl w:val="0"/>
        <w:numPr>
          <w:ilvl w:val="0"/>
          <w:numId w:val="2"/>
        </w:numPr>
        <w:tabs>
          <w:tab w:val="left" w:pos="617"/>
        </w:tabs>
        <w:autoSpaceDE w:val="0"/>
        <w:autoSpaceDN w:val="0"/>
        <w:ind w:left="616" w:hanging="378"/>
        <w:contextualSpacing w:val="0"/>
      </w:pPr>
      <w:r>
        <w:t>Electronic Filing</w:t>
      </w:r>
      <w:r>
        <w:rPr>
          <w:spacing w:val="-13"/>
        </w:rPr>
        <w:t xml:space="preserve"> </w:t>
      </w:r>
      <w:r>
        <w:t>Policy</w:t>
      </w:r>
    </w:p>
    <w:p w14:paraId="76C9C0A8" w14:textId="72E791E7" w:rsidR="0033402D" w:rsidRDefault="0033402D" w:rsidP="0033402D">
      <w:pPr>
        <w:pStyle w:val="BodyText"/>
        <w:ind w:left="239" w:right="229"/>
      </w:pPr>
      <w:r>
        <w:t>In conformity with the Ohio Revised Code and Rule 5(E) of Ohio Rule of Civil Procedure 5(E), pleadings and other papers may be filed electronically with this Court, subject to the provisions in this rule. Unless otherwise modified by approved stipulation or court order, all Ohio Rules of Civil Procedure and Local Rules and orders of the Court apply to all documents electronically filed.</w:t>
      </w:r>
    </w:p>
    <w:p w14:paraId="34F0D961" w14:textId="77777777" w:rsidR="0033402D" w:rsidRDefault="0033402D" w:rsidP="0033402D">
      <w:pPr>
        <w:pStyle w:val="BodyText"/>
        <w:spacing w:before="5"/>
      </w:pPr>
    </w:p>
    <w:p w14:paraId="16D02AE5" w14:textId="77777777" w:rsidR="0033402D" w:rsidRDefault="0033402D" w:rsidP="0033402D">
      <w:pPr>
        <w:pStyle w:val="ListParagraph"/>
        <w:widowControl w:val="0"/>
        <w:numPr>
          <w:ilvl w:val="0"/>
          <w:numId w:val="2"/>
        </w:numPr>
        <w:tabs>
          <w:tab w:val="left" w:pos="629"/>
        </w:tabs>
        <w:autoSpaceDE w:val="0"/>
        <w:autoSpaceDN w:val="0"/>
        <w:ind w:left="628" w:hanging="390"/>
        <w:contextualSpacing w:val="0"/>
        <w:jc w:val="both"/>
      </w:pPr>
      <w:r>
        <w:rPr>
          <w:spacing w:val="-3"/>
        </w:rPr>
        <w:lastRenderedPageBreak/>
        <w:t>Registration</w:t>
      </w:r>
    </w:p>
    <w:p w14:paraId="4B0A3FB3" w14:textId="77777777" w:rsidR="0033402D" w:rsidRDefault="0033402D" w:rsidP="0033402D">
      <w:pPr>
        <w:pStyle w:val="BodyText"/>
        <w:spacing w:before="2"/>
        <w:ind w:left="239" w:right="714"/>
        <w:jc w:val="both"/>
      </w:pPr>
      <w:r>
        <w:t>Any individual who wants to file electronically must first register with the e-services platform in order to e-file. Upon approval or denial of the request for access to the e- services platform, the filer will receive an email indicating the registration status.</w:t>
      </w:r>
    </w:p>
    <w:p w14:paraId="633A8BD2" w14:textId="77777777" w:rsidR="0033402D" w:rsidRDefault="0033402D" w:rsidP="0033402D">
      <w:pPr>
        <w:pStyle w:val="BodyText"/>
        <w:ind w:left="239" w:right="609"/>
        <w:jc w:val="both"/>
      </w:pPr>
      <w:r>
        <w:t>Registration as a filer constitutes consent to accept electronic service of any pleadings filed by other registered filers as well as any orders issued by the Court.</w:t>
      </w:r>
    </w:p>
    <w:p w14:paraId="5812D04D" w14:textId="77777777" w:rsidR="0033402D" w:rsidRDefault="0033402D" w:rsidP="0033402D">
      <w:pPr>
        <w:pStyle w:val="BodyText"/>
        <w:spacing w:before="3"/>
      </w:pPr>
    </w:p>
    <w:p w14:paraId="64CE1215" w14:textId="77777777" w:rsidR="0033402D" w:rsidRDefault="0033402D" w:rsidP="0033402D">
      <w:pPr>
        <w:pStyle w:val="ListParagraph"/>
        <w:widowControl w:val="0"/>
        <w:numPr>
          <w:ilvl w:val="0"/>
          <w:numId w:val="2"/>
        </w:numPr>
        <w:tabs>
          <w:tab w:val="left" w:pos="629"/>
        </w:tabs>
        <w:autoSpaceDE w:val="0"/>
        <w:autoSpaceDN w:val="0"/>
        <w:ind w:left="628" w:hanging="390"/>
        <w:contextualSpacing w:val="0"/>
      </w:pPr>
      <w:r>
        <w:rPr>
          <w:spacing w:val="-3"/>
        </w:rPr>
        <w:t>Signatures</w:t>
      </w:r>
    </w:p>
    <w:p w14:paraId="50988FFC" w14:textId="445B4DEE" w:rsidR="0033402D" w:rsidRDefault="0033402D" w:rsidP="0033402D">
      <w:pPr>
        <w:pStyle w:val="BodyText"/>
        <w:spacing w:before="2"/>
        <w:ind w:left="239" w:right="270"/>
      </w:pPr>
      <w:r>
        <w:t>All electronically filed pleadings must be signed by an attorney admitted to practice in the State of Ohio or by any parties representing themselves. Any signature on an electronically transmitted document will be considered that of the attorney or party under Rule 5(E)(1) of the Ohio Rules of Civil Procedure.</w:t>
      </w:r>
    </w:p>
    <w:p w14:paraId="07D8A705" w14:textId="77777777" w:rsidR="0033402D" w:rsidRDefault="0033402D" w:rsidP="0033402D">
      <w:pPr>
        <w:pStyle w:val="BodyText"/>
        <w:spacing w:before="3"/>
      </w:pPr>
    </w:p>
    <w:p w14:paraId="1D8C1095" w14:textId="77777777" w:rsidR="0033402D" w:rsidRDefault="0033402D" w:rsidP="0033402D">
      <w:pPr>
        <w:pStyle w:val="ListParagraph"/>
        <w:widowControl w:val="0"/>
        <w:numPr>
          <w:ilvl w:val="0"/>
          <w:numId w:val="2"/>
        </w:numPr>
        <w:tabs>
          <w:tab w:val="left" w:pos="617"/>
        </w:tabs>
        <w:autoSpaceDE w:val="0"/>
        <w:autoSpaceDN w:val="0"/>
        <w:ind w:left="616" w:hanging="378"/>
        <w:contextualSpacing w:val="0"/>
        <w:jc w:val="both"/>
      </w:pPr>
      <w:r>
        <w:t>Acceptance or Rejection of</w:t>
      </w:r>
      <w:r>
        <w:rPr>
          <w:spacing w:val="-11"/>
        </w:rPr>
        <w:t xml:space="preserve"> </w:t>
      </w:r>
      <w:r>
        <w:t>Filing</w:t>
      </w:r>
    </w:p>
    <w:p w14:paraId="2164EC96" w14:textId="77777777" w:rsidR="0033402D" w:rsidRDefault="0033402D" w:rsidP="0033402D">
      <w:pPr>
        <w:pStyle w:val="ListParagraph"/>
        <w:widowControl w:val="0"/>
        <w:numPr>
          <w:ilvl w:val="1"/>
          <w:numId w:val="2"/>
        </w:numPr>
        <w:tabs>
          <w:tab w:val="left" w:pos="1296"/>
        </w:tabs>
        <w:autoSpaceDE w:val="0"/>
        <w:autoSpaceDN w:val="0"/>
        <w:spacing w:before="64"/>
        <w:ind w:left="959" w:right="355" w:firstLine="0"/>
        <w:contextualSpacing w:val="0"/>
      </w:pPr>
      <w:r>
        <w:t>Each electronic filing will be assigned a confirmation number, which will be displayed on the screen of the filer’s computer upon successful transmission of the</w:t>
      </w:r>
      <w:r>
        <w:rPr>
          <w:spacing w:val="-8"/>
        </w:rPr>
        <w:t xml:space="preserve"> </w:t>
      </w:r>
      <w:r>
        <w:t>filing.</w:t>
      </w:r>
      <w:r>
        <w:rPr>
          <w:spacing w:val="-4"/>
        </w:rPr>
        <w:t xml:space="preserve"> </w:t>
      </w:r>
      <w:r>
        <w:t>The</w:t>
      </w:r>
      <w:r>
        <w:rPr>
          <w:spacing w:val="-6"/>
        </w:rPr>
        <w:t xml:space="preserve"> </w:t>
      </w:r>
      <w:r>
        <w:t>document</w:t>
      </w:r>
      <w:r>
        <w:rPr>
          <w:spacing w:val="2"/>
        </w:rPr>
        <w:t xml:space="preserve"> </w:t>
      </w:r>
      <w:r>
        <w:t>is</w:t>
      </w:r>
      <w:r>
        <w:rPr>
          <w:spacing w:val="-5"/>
        </w:rPr>
        <w:t xml:space="preserve"> </w:t>
      </w:r>
      <w:r>
        <w:t>deemed</w:t>
      </w:r>
      <w:r>
        <w:rPr>
          <w:spacing w:val="-4"/>
        </w:rPr>
        <w:t xml:space="preserve"> </w:t>
      </w:r>
      <w:r>
        <w:t>filed</w:t>
      </w:r>
      <w:r>
        <w:rPr>
          <w:spacing w:val="-5"/>
        </w:rPr>
        <w:t xml:space="preserve"> </w:t>
      </w:r>
      <w:r>
        <w:t>pursuant</w:t>
      </w:r>
      <w:r>
        <w:rPr>
          <w:spacing w:val="-3"/>
        </w:rPr>
        <w:t xml:space="preserve"> </w:t>
      </w:r>
      <w:r>
        <w:t>to</w:t>
      </w:r>
      <w:r>
        <w:rPr>
          <w:spacing w:val="-5"/>
        </w:rPr>
        <w:t xml:space="preserve"> </w:t>
      </w:r>
      <w:r>
        <w:t>Rule/Statute</w:t>
      </w:r>
      <w:r>
        <w:rPr>
          <w:spacing w:val="-7"/>
        </w:rPr>
        <w:t xml:space="preserve"> </w:t>
      </w:r>
      <w:r>
        <w:t>at</w:t>
      </w:r>
      <w:r>
        <w:rPr>
          <w:spacing w:val="-3"/>
        </w:rPr>
        <w:t xml:space="preserve"> </w:t>
      </w:r>
      <w:r>
        <w:t>the</w:t>
      </w:r>
      <w:r>
        <w:rPr>
          <w:spacing w:val="-8"/>
        </w:rPr>
        <w:t xml:space="preserve"> </w:t>
      </w:r>
      <w:r>
        <w:t>date/time of that confirmation</w:t>
      </w:r>
      <w:r>
        <w:rPr>
          <w:spacing w:val="-2"/>
        </w:rPr>
        <w:t xml:space="preserve"> </w:t>
      </w:r>
      <w:r>
        <w:t>notice.</w:t>
      </w:r>
    </w:p>
    <w:p w14:paraId="37D502C5" w14:textId="77777777" w:rsidR="0033402D" w:rsidRDefault="0033402D" w:rsidP="0033402D">
      <w:pPr>
        <w:pStyle w:val="BodyText"/>
        <w:spacing w:before="5"/>
      </w:pPr>
    </w:p>
    <w:p w14:paraId="01D815F6" w14:textId="77777777" w:rsidR="0033402D" w:rsidRDefault="0033402D" w:rsidP="0033402D">
      <w:pPr>
        <w:pStyle w:val="ListParagraph"/>
        <w:widowControl w:val="0"/>
        <w:numPr>
          <w:ilvl w:val="1"/>
          <w:numId w:val="2"/>
        </w:numPr>
        <w:tabs>
          <w:tab w:val="left" w:pos="1296"/>
        </w:tabs>
        <w:autoSpaceDE w:val="0"/>
        <w:autoSpaceDN w:val="0"/>
        <w:ind w:left="959" w:right="316" w:firstLine="0"/>
        <w:contextualSpacing w:val="0"/>
      </w:pPr>
      <w:r>
        <w:t>After</w:t>
      </w:r>
      <w:r>
        <w:rPr>
          <w:spacing w:val="-6"/>
        </w:rPr>
        <w:t xml:space="preserve"> </w:t>
      </w:r>
      <w:r>
        <w:t>an</w:t>
      </w:r>
      <w:r>
        <w:rPr>
          <w:spacing w:val="-4"/>
        </w:rPr>
        <w:t xml:space="preserve"> </w:t>
      </w:r>
      <w:r>
        <w:t>e-filing</w:t>
      </w:r>
      <w:r>
        <w:rPr>
          <w:spacing w:val="-11"/>
        </w:rPr>
        <w:t xml:space="preserve"> </w:t>
      </w:r>
      <w:r>
        <w:t>has</w:t>
      </w:r>
      <w:r>
        <w:rPr>
          <w:spacing w:val="-1"/>
        </w:rPr>
        <w:t xml:space="preserve"> </w:t>
      </w:r>
      <w:r>
        <w:t>been</w:t>
      </w:r>
      <w:r>
        <w:rPr>
          <w:spacing w:val="-1"/>
        </w:rPr>
        <w:t xml:space="preserve"> </w:t>
      </w:r>
      <w:r>
        <w:t>submitted,</w:t>
      </w:r>
      <w:r>
        <w:rPr>
          <w:spacing w:val="-4"/>
        </w:rPr>
        <w:t xml:space="preserve"> </w:t>
      </w:r>
      <w:r>
        <w:t>the</w:t>
      </w:r>
      <w:r>
        <w:rPr>
          <w:spacing w:val="-7"/>
        </w:rPr>
        <w:t xml:space="preserve"> </w:t>
      </w:r>
      <w:r>
        <w:t>Court</w:t>
      </w:r>
      <w:r>
        <w:rPr>
          <w:spacing w:val="-3"/>
        </w:rPr>
        <w:t xml:space="preserve"> </w:t>
      </w:r>
      <w:r>
        <w:t>will</w:t>
      </w:r>
      <w:r>
        <w:rPr>
          <w:spacing w:val="-6"/>
        </w:rPr>
        <w:t xml:space="preserve"> </w:t>
      </w:r>
      <w:r>
        <w:t>review</w:t>
      </w:r>
      <w:r>
        <w:rPr>
          <w:spacing w:val="-7"/>
        </w:rPr>
        <w:t xml:space="preserve"> </w:t>
      </w:r>
      <w:r>
        <w:t>the</w:t>
      </w:r>
      <w:r>
        <w:rPr>
          <w:spacing w:val="-5"/>
        </w:rPr>
        <w:t xml:space="preserve"> </w:t>
      </w:r>
      <w:r>
        <w:t>submission</w:t>
      </w:r>
      <w:r>
        <w:rPr>
          <w:spacing w:val="-4"/>
        </w:rPr>
        <w:t xml:space="preserve"> </w:t>
      </w:r>
      <w:r>
        <w:t>and notify the filer by email if filing is rejected for any</w:t>
      </w:r>
      <w:r>
        <w:rPr>
          <w:spacing w:val="-20"/>
        </w:rPr>
        <w:t xml:space="preserve"> </w:t>
      </w:r>
      <w:r>
        <w:t>reason.</w:t>
      </w:r>
    </w:p>
    <w:p w14:paraId="59CF4267" w14:textId="77777777" w:rsidR="0033402D" w:rsidRDefault="0033402D" w:rsidP="0033402D">
      <w:pPr>
        <w:pStyle w:val="BodyText"/>
        <w:spacing w:before="5"/>
      </w:pPr>
    </w:p>
    <w:p w14:paraId="7F33408F" w14:textId="77777777" w:rsidR="0033402D" w:rsidRDefault="0033402D" w:rsidP="0033402D">
      <w:pPr>
        <w:pStyle w:val="ListParagraph"/>
        <w:widowControl w:val="0"/>
        <w:numPr>
          <w:ilvl w:val="1"/>
          <w:numId w:val="2"/>
        </w:numPr>
        <w:tabs>
          <w:tab w:val="left" w:pos="1296"/>
        </w:tabs>
        <w:autoSpaceDE w:val="0"/>
        <w:autoSpaceDN w:val="0"/>
        <w:spacing w:line="237" w:lineRule="auto"/>
        <w:ind w:left="959" w:right="549" w:firstLine="0"/>
        <w:contextualSpacing w:val="0"/>
      </w:pPr>
      <w:r>
        <w:t>After</w:t>
      </w:r>
      <w:r>
        <w:rPr>
          <w:spacing w:val="-6"/>
        </w:rPr>
        <w:t xml:space="preserve"> </w:t>
      </w:r>
      <w:r>
        <w:t>a</w:t>
      </w:r>
      <w:r>
        <w:rPr>
          <w:spacing w:val="-7"/>
        </w:rPr>
        <w:t xml:space="preserve"> </w:t>
      </w:r>
      <w:r>
        <w:t>document</w:t>
      </w:r>
      <w:r>
        <w:rPr>
          <w:spacing w:val="-3"/>
        </w:rPr>
        <w:t xml:space="preserve"> </w:t>
      </w:r>
      <w:r>
        <w:t>receives</w:t>
      </w:r>
      <w:r>
        <w:rPr>
          <w:spacing w:val="-4"/>
        </w:rPr>
        <w:t xml:space="preserve"> </w:t>
      </w:r>
      <w:r>
        <w:t>a</w:t>
      </w:r>
      <w:r>
        <w:rPr>
          <w:spacing w:val="-7"/>
        </w:rPr>
        <w:t xml:space="preserve"> </w:t>
      </w:r>
      <w:r>
        <w:t>confirmation</w:t>
      </w:r>
      <w:r>
        <w:rPr>
          <w:spacing w:val="-4"/>
        </w:rPr>
        <w:t xml:space="preserve"> </w:t>
      </w:r>
      <w:r>
        <w:t>number</w:t>
      </w:r>
      <w:r>
        <w:rPr>
          <w:spacing w:val="-2"/>
        </w:rPr>
        <w:t xml:space="preserve"> </w:t>
      </w:r>
      <w:r>
        <w:t>and</w:t>
      </w:r>
      <w:r>
        <w:rPr>
          <w:spacing w:val="-4"/>
        </w:rPr>
        <w:t xml:space="preserve"> </w:t>
      </w:r>
      <w:r>
        <w:t>has</w:t>
      </w:r>
      <w:r>
        <w:rPr>
          <w:spacing w:val="-4"/>
        </w:rPr>
        <w:t xml:space="preserve"> </w:t>
      </w:r>
      <w:r>
        <w:t>been</w:t>
      </w:r>
      <w:r>
        <w:rPr>
          <w:spacing w:val="-1"/>
        </w:rPr>
        <w:t xml:space="preserve"> </w:t>
      </w:r>
      <w:r>
        <w:t>accepted</w:t>
      </w:r>
      <w:r>
        <w:rPr>
          <w:spacing w:val="-4"/>
        </w:rPr>
        <w:t xml:space="preserve"> </w:t>
      </w:r>
      <w:r>
        <w:t>by the Clerk, the document cannot be</w:t>
      </w:r>
      <w:r>
        <w:rPr>
          <w:spacing w:val="-2"/>
        </w:rPr>
        <w:t xml:space="preserve"> </w:t>
      </w:r>
      <w:r>
        <w:t>altered.</w:t>
      </w:r>
    </w:p>
    <w:p w14:paraId="6C40A84E" w14:textId="77777777" w:rsidR="0033402D" w:rsidRDefault="0033402D" w:rsidP="0033402D">
      <w:pPr>
        <w:pStyle w:val="BodyText"/>
        <w:spacing w:before="8"/>
      </w:pPr>
    </w:p>
    <w:p w14:paraId="0785AA02" w14:textId="4BED0CB5" w:rsidR="0033402D" w:rsidRDefault="0033402D" w:rsidP="00C02B27">
      <w:pPr>
        <w:pStyle w:val="ListParagraph"/>
        <w:widowControl w:val="0"/>
        <w:numPr>
          <w:ilvl w:val="1"/>
          <w:numId w:val="2"/>
        </w:numPr>
        <w:tabs>
          <w:tab w:val="left" w:pos="1299"/>
        </w:tabs>
        <w:autoSpaceDE w:val="0"/>
        <w:autoSpaceDN w:val="0"/>
        <w:ind w:left="959" w:right="289" w:firstLine="0"/>
        <w:contextualSpacing w:val="0"/>
      </w:pPr>
      <w:r>
        <w:t>If</w:t>
      </w:r>
      <w:r w:rsidRPr="00C41057">
        <w:rPr>
          <w:spacing w:val="-5"/>
        </w:rPr>
        <w:t xml:space="preserve"> </w:t>
      </w:r>
      <w:r>
        <w:t>the</w:t>
      </w:r>
      <w:r w:rsidRPr="00C41057">
        <w:rPr>
          <w:spacing w:val="-7"/>
        </w:rPr>
        <w:t xml:space="preserve"> </w:t>
      </w:r>
      <w:r>
        <w:t>document</w:t>
      </w:r>
      <w:r w:rsidRPr="00C41057">
        <w:rPr>
          <w:spacing w:val="-3"/>
        </w:rPr>
        <w:t xml:space="preserve"> </w:t>
      </w:r>
      <w:r>
        <w:t>contains</w:t>
      </w:r>
      <w:r w:rsidRPr="00C41057">
        <w:rPr>
          <w:spacing w:val="-1"/>
        </w:rPr>
        <w:t xml:space="preserve"> </w:t>
      </w:r>
      <w:r>
        <w:t>a</w:t>
      </w:r>
      <w:r w:rsidRPr="00C41057">
        <w:rPr>
          <w:spacing w:val="-7"/>
        </w:rPr>
        <w:t xml:space="preserve"> </w:t>
      </w:r>
      <w:r>
        <w:t>minor</w:t>
      </w:r>
      <w:r w:rsidRPr="00C41057">
        <w:rPr>
          <w:spacing w:val="-6"/>
        </w:rPr>
        <w:t xml:space="preserve"> </w:t>
      </w:r>
      <w:r>
        <w:t>error</w:t>
      </w:r>
      <w:r w:rsidRPr="00C41057">
        <w:rPr>
          <w:spacing w:val="-5"/>
        </w:rPr>
        <w:t xml:space="preserve"> </w:t>
      </w:r>
      <w:r>
        <w:t>that</w:t>
      </w:r>
      <w:r w:rsidRPr="00C41057">
        <w:rPr>
          <w:spacing w:val="-3"/>
        </w:rPr>
        <w:t xml:space="preserve"> </w:t>
      </w:r>
      <w:r>
        <w:t>does</w:t>
      </w:r>
      <w:r w:rsidRPr="00C41057">
        <w:rPr>
          <w:spacing w:val="-4"/>
        </w:rPr>
        <w:t xml:space="preserve"> </w:t>
      </w:r>
      <w:r>
        <w:t>not</w:t>
      </w:r>
      <w:r w:rsidRPr="00C41057">
        <w:rPr>
          <w:spacing w:val="-3"/>
        </w:rPr>
        <w:t xml:space="preserve"> </w:t>
      </w:r>
      <w:r>
        <w:t>affect</w:t>
      </w:r>
      <w:r w:rsidRPr="00C41057">
        <w:rPr>
          <w:spacing w:val="-3"/>
        </w:rPr>
        <w:t xml:space="preserve"> </w:t>
      </w:r>
      <w:r>
        <w:t>the</w:t>
      </w:r>
      <w:r w:rsidRPr="00C41057">
        <w:rPr>
          <w:spacing w:val="-7"/>
        </w:rPr>
        <w:t xml:space="preserve"> </w:t>
      </w:r>
      <w:r>
        <w:t>substance</w:t>
      </w:r>
      <w:r w:rsidRPr="00C41057">
        <w:rPr>
          <w:spacing w:val="-4"/>
        </w:rPr>
        <w:t xml:space="preserve"> </w:t>
      </w:r>
      <w:r>
        <w:t>of</w:t>
      </w:r>
      <w:r w:rsidRPr="00C41057">
        <w:rPr>
          <w:spacing w:val="-5"/>
        </w:rPr>
        <w:t xml:space="preserve"> </w:t>
      </w:r>
      <w:r>
        <w:t xml:space="preserve">the document and is rejected as result of that error, the filer will have </w:t>
      </w:r>
      <w:r w:rsidR="00C41057">
        <w:t xml:space="preserve">until </w:t>
      </w:r>
      <w:r w:rsidR="00F40ADD">
        <w:t>midnight</w:t>
      </w:r>
      <w:r w:rsidR="00C41057">
        <w:t xml:space="preserve"> on the business day after the day on which they are informed of such error</w:t>
      </w:r>
      <w:r>
        <w:t xml:space="preserve"> to correct the error and resubmit the document and the document will be deemed filed as of the date of the original</w:t>
      </w:r>
      <w:r w:rsidRPr="00C41057">
        <w:rPr>
          <w:spacing w:val="-10"/>
        </w:rPr>
        <w:t xml:space="preserve"> </w:t>
      </w:r>
      <w:r>
        <w:t>filing.</w:t>
      </w:r>
    </w:p>
    <w:p w14:paraId="2DD7B0F8" w14:textId="77777777" w:rsidR="0033402D" w:rsidRDefault="0033402D" w:rsidP="0033402D">
      <w:pPr>
        <w:pStyle w:val="BodyText"/>
      </w:pPr>
    </w:p>
    <w:p w14:paraId="46ACF44F" w14:textId="77777777" w:rsidR="0033402D" w:rsidRDefault="0033402D" w:rsidP="0033402D">
      <w:pPr>
        <w:pStyle w:val="ListParagraph"/>
        <w:widowControl w:val="0"/>
        <w:numPr>
          <w:ilvl w:val="0"/>
          <w:numId w:val="2"/>
        </w:numPr>
        <w:tabs>
          <w:tab w:val="left" w:pos="603"/>
        </w:tabs>
        <w:autoSpaceDE w:val="0"/>
        <w:autoSpaceDN w:val="0"/>
        <w:ind w:left="602" w:hanging="364"/>
        <w:contextualSpacing w:val="0"/>
      </w:pPr>
      <w:r>
        <w:t>Document Format, Attachments, and</w:t>
      </w:r>
      <w:r>
        <w:rPr>
          <w:spacing w:val="-10"/>
        </w:rPr>
        <w:t xml:space="preserve"> </w:t>
      </w:r>
      <w:r>
        <w:rPr>
          <w:spacing w:val="-3"/>
        </w:rPr>
        <w:t>Exhibits</w:t>
      </w:r>
    </w:p>
    <w:p w14:paraId="742548D9" w14:textId="77777777" w:rsidR="0033402D" w:rsidRDefault="0033402D" w:rsidP="0033402D">
      <w:pPr>
        <w:pStyle w:val="BodyText"/>
        <w:spacing w:before="5"/>
      </w:pPr>
    </w:p>
    <w:p w14:paraId="556897FB" w14:textId="77777777" w:rsidR="0033402D" w:rsidRDefault="0033402D" w:rsidP="0033402D">
      <w:pPr>
        <w:pStyle w:val="ListParagraph"/>
        <w:widowControl w:val="0"/>
        <w:numPr>
          <w:ilvl w:val="1"/>
          <w:numId w:val="2"/>
        </w:numPr>
        <w:tabs>
          <w:tab w:val="left" w:pos="1296"/>
        </w:tabs>
        <w:autoSpaceDE w:val="0"/>
        <w:autoSpaceDN w:val="0"/>
        <w:ind w:left="1296" w:hanging="337"/>
        <w:contextualSpacing w:val="0"/>
      </w:pPr>
      <w:r>
        <w:t>Documents must be submitted in Portable Document Format</w:t>
      </w:r>
      <w:r>
        <w:rPr>
          <w:spacing w:val="-23"/>
        </w:rPr>
        <w:t xml:space="preserve"> </w:t>
      </w:r>
      <w:r>
        <w:rPr>
          <w:spacing w:val="-3"/>
        </w:rPr>
        <w:t>(PDF).</w:t>
      </w:r>
    </w:p>
    <w:p w14:paraId="289B486F" w14:textId="77777777" w:rsidR="0033402D" w:rsidRDefault="0033402D" w:rsidP="0033402D">
      <w:pPr>
        <w:pStyle w:val="BodyText"/>
        <w:spacing w:before="5"/>
      </w:pPr>
    </w:p>
    <w:p w14:paraId="68369267" w14:textId="77777777" w:rsidR="0033402D" w:rsidRDefault="0033402D" w:rsidP="0033402D">
      <w:pPr>
        <w:pStyle w:val="ListParagraph"/>
        <w:widowControl w:val="0"/>
        <w:numPr>
          <w:ilvl w:val="1"/>
          <w:numId w:val="2"/>
        </w:numPr>
        <w:tabs>
          <w:tab w:val="left" w:pos="1296"/>
        </w:tabs>
        <w:autoSpaceDE w:val="0"/>
        <w:autoSpaceDN w:val="0"/>
        <w:ind w:left="959" w:right="321" w:firstLine="0"/>
        <w:contextualSpacing w:val="0"/>
      </w:pPr>
      <w:r>
        <w:t>All attachments and exhibits to pleadings or motions should comply with</w:t>
      </w:r>
      <w:r>
        <w:rPr>
          <w:spacing w:val="-25"/>
        </w:rPr>
        <w:t xml:space="preserve"> </w:t>
      </w:r>
      <w:r>
        <w:t>data format</w:t>
      </w:r>
      <w:r>
        <w:rPr>
          <w:spacing w:val="-4"/>
        </w:rPr>
        <w:t xml:space="preserve"> </w:t>
      </w:r>
      <w:r>
        <w:t>for</w:t>
      </w:r>
      <w:r>
        <w:rPr>
          <w:spacing w:val="-7"/>
        </w:rPr>
        <w:t xml:space="preserve"> </w:t>
      </w:r>
      <w:r>
        <w:t>the</w:t>
      </w:r>
      <w:r>
        <w:rPr>
          <w:spacing w:val="-3"/>
        </w:rPr>
        <w:t xml:space="preserve"> </w:t>
      </w:r>
      <w:r>
        <w:t>e-services</w:t>
      </w:r>
      <w:r>
        <w:rPr>
          <w:spacing w:val="-1"/>
        </w:rPr>
        <w:t xml:space="preserve"> </w:t>
      </w:r>
      <w:r>
        <w:t>portal</w:t>
      </w:r>
      <w:r>
        <w:rPr>
          <w:spacing w:val="-4"/>
        </w:rPr>
        <w:t xml:space="preserve"> </w:t>
      </w:r>
      <w:r>
        <w:t>and,</w:t>
      </w:r>
      <w:r>
        <w:rPr>
          <w:spacing w:val="-4"/>
        </w:rPr>
        <w:t xml:space="preserve"> </w:t>
      </w:r>
      <w:r>
        <w:t>where</w:t>
      </w:r>
      <w:r>
        <w:rPr>
          <w:spacing w:val="-6"/>
        </w:rPr>
        <w:t xml:space="preserve"> </w:t>
      </w:r>
      <w:r>
        <w:t>possible,</w:t>
      </w:r>
      <w:r>
        <w:rPr>
          <w:spacing w:val="-4"/>
        </w:rPr>
        <w:t xml:space="preserve"> </w:t>
      </w:r>
      <w:r>
        <w:t>be</w:t>
      </w:r>
      <w:r>
        <w:rPr>
          <w:spacing w:val="-7"/>
        </w:rPr>
        <w:t xml:space="preserve"> </w:t>
      </w:r>
      <w:r>
        <w:t>contained</w:t>
      </w:r>
      <w:r>
        <w:rPr>
          <w:spacing w:val="-5"/>
        </w:rPr>
        <w:t xml:space="preserve"> </w:t>
      </w:r>
      <w:r>
        <w:t>in</w:t>
      </w:r>
      <w:r>
        <w:rPr>
          <w:spacing w:val="-4"/>
        </w:rPr>
        <w:t xml:space="preserve"> </w:t>
      </w:r>
      <w:r>
        <w:t>one</w:t>
      </w:r>
      <w:r>
        <w:rPr>
          <w:spacing w:val="-8"/>
        </w:rPr>
        <w:t xml:space="preserve"> </w:t>
      </w:r>
      <w:r>
        <w:t>PDF</w:t>
      </w:r>
      <w:r>
        <w:rPr>
          <w:spacing w:val="-8"/>
        </w:rPr>
        <w:t xml:space="preserve"> </w:t>
      </w:r>
      <w:r>
        <w:t>file. If the file size is too large to upload, the attachments or exhibits can be filed in multiple</w:t>
      </w:r>
      <w:r>
        <w:rPr>
          <w:spacing w:val="-2"/>
        </w:rPr>
        <w:t xml:space="preserve"> </w:t>
      </w:r>
      <w:r>
        <w:t>parts.</w:t>
      </w:r>
    </w:p>
    <w:p w14:paraId="109B6F95" w14:textId="77777777" w:rsidR="0033402D" w:rsidRDefault="0033402D" w:rsidP="0033402D">
      <w:pPr>
        <w:pStyle w:val="BodyText"/>
        <w:spacing w:before="5"/>
      </w:pPr>
    </w:p>
    <w:p w14:paraId="36146BC4" w14:textId="77777777" w:rsidR="0033402D" w:rsidRDefault="0033402D" w:rsidP="0033402D">
      <w:pPr>
        <w:pStyle w:val="ListParagraph"/>
        <w:widowControl w:val="0"/>
        <w:numPr>
          <w:ilvl w:val="1"/>
          <w:numId w:val="2"/>
        </w:numPr>
        <w:tabs>
          <w:tab w:val="left" w:pos="1296"/>
        </w:tabs>
        <w:autoSpaceDE w:val="0"/>
        <w:autoSpaceDN w:val="0"/>
        <w:ind w:left="959" w:right="451" w:firstLine="0"/>
        <w:contextualSpacing w:val="0"/>
      </w:pPr>
      <w:r>
        <w:t>Deposition</w:t>
      </w:r>
      <w:r>
        <w:rPr>
          <w:spacing w:val="-7"/>
        </w:rPr>
        <w:t xml:space="preserve"> </w:t>
      </w:r>
      <w:r>
        <w:t>transcripts</w:t>
      </w:r>
      <w:r>
        <w:rPr>
          <w:spacing w:val="-6"/>
        </w:rPr>
        <w:t xml:space="preserve"> </w:t>
      </w:r>
      <w:r>
        <w:t>must</w:t>
      </w:r>
      <w:r>
        <w:rPr>
          <w:spacing w:val="-6"/>
        </w:rPr>
        <w:t xml:space="preserve"> </w:t>
      </w:r>
      <w:r>
        <w:t>be</w:t>
      </w:r>
      <w:r>
        <w:rPr>
          <w:spacing w:val="-7"/>
        </w:rPr>
        <w:t xml:space="preserve"> </w:t>
      </w:r>
      <w:r>
        <w:t>filed</w:t>
      </w:r>
      <w:r>
        <w:rPr>
          <w:spacing w:val="-6"/>
        </w:rPr>
        <w:t xml:space="preserve"> </w:t>
      </w:r>
      <w:r>
        <w:t>in</w:t>
      </w:r>
      <w:r>
        <w:rPr>
          <w:spacing w:val="-4"/>
        </w:rPr>
        <w:t xml:space="preserve"> </w:t>
      </w:r>
      <w:r>
        <w:t>hard</w:t>
      </w:r>
      <w:r>
        <w:rPr>
          <w:spacing w:val="-4"/>
        </w:rPr>
        <w:t xml:space="preserve"> </w:t>
      </w:r>
      <w:r>
        <w:t>format</w:t>
      </w:r>
      <w:r>
        <w:rPr>
          <w:spacing w:val="-6"/>
        </w:rPr>
        <w:t xml:space="preserve"> </w:t>
      </w:r>
      <w:r>
        <w:t>pursuant</w:t>
      </w:r>
      <w:r>
        <w:rPr>
          <w:spacing w:val="-7"/>
        </w:rPr>
        <w:t xml:space="preserve"> </w:t>
      </w:r>
      <w:r>
        <w:t>to</w:t>
      </w:r>
      <w:r>
        <w:rPr>
          <w:spacing w:val="-6"/>
        </w:rPr>
        <w:t xml:space="preserve"> </w:t>
      </w:r>
      <w:r>
        <w:t>the</w:t>
      </w:r>
      <w:r>
        <w:rPr>
          <w:spacing w:val="-5"/>
        </w:rPr>
        <w:t xml:space="preserve"> </w:t>
      </w:r>
      <w:r>
        <w:t>local</w:t>
      </w:r>
      <w:r>
        <w:rPr>
          <w:spacing w:val="-3"/>
        </w:rPr>
        <w:t xml:space="preserve"> </w:t>
      </w:r>
      <w:r>
        <w:t>rules and may not be filed</w:t>
      </w:r>
      <w:r>
        <w:rPr>
          <w:spacing w:val="-7"/>
        </w:rPr>
        <w:t xml:space="preserve"> </w:t>
      </w:r>
      <w:r>
        <w:t>electronically.</w:t>
      </w:r>
    </w:p>
    <w:p w14:paraId="4877005D" w14:textId="77777777" w:rsidR="0033402D" w:rsidRDefault="0033402D" w:rsidP="0033402D">
      <w:pPr>
        <w:pStyle w:val="BodyText"/>
        <w:spacing w:before="2"/>
      </w:pPr>
    </w:p>
    <w:p w14:paraId="1855D88A" w14:textId="77777777" w:rsidR="0033402D" w:rsidRDefault="0033402D" w:rsidP="0033402D">
      <w:pPr>
        <w:pStyle w:val="ListParagraph"/>
        <w:widowControl w:val="0"/>
        <w:numPr>
          <w:ilvl w:val="0"/>
          <w:numId w:val="2"/>
        </w:numPr>
        <w:tabs>
          <w:tab w:val="left" w:pos="644"/>
        </w:tabs>
        <w:autoSpaceDE w:val="0"/>
        <w:autoSpaceDN w:val="0"/>
        <w:ind w:left="643" w:hanging="405"/>
        <w:contextualSpacing w:val="0"/>
      </w:pPr>
      <w:r>
        <w:t>Service of</w:t>
      </w:r>
      <w:r>
        <w:rPr>
          <w:spacing w:val="-2"/>
        </w:rPr>
        <w:t xml:space="preserve"> </w:t>
      </w:r>
      <w:r>
        <w:rPr>
          <w:spacing w:val="-3"/>
        </w:rPr>
        <w:t>Documents</w:t>
      </w:r>
    </w:p>
    <w:p w14:paraId="3060D710" w14:textId="6A638A13" w:rsidR="0033402D" w:rsidRDefault="0033402D" w:rsidP="0033402D">
      <w:pPr>
        <w:pStyle w:val="BodyText"/>
        <w:spacing w:before="3"/>
        <w:ind w:left="239" w:right="264"/>
      </w:pPr>
      <w:r>
        <w:t xml:space="preserve">Any documents filed electronically must be served in accordance with </w:t>
      </w:r>
      <w:r w:rsidR="00F40ADD">
        <w:t>local rule</w:t>
      </w:r>
      <w:r>
        <w:t xml:space="preserve">. If </w:t>
      </w:r>
      <w:r>
        <w:lastRenderedPageBreak/>
        <w:t>there are other filers of record, service will be made electronically</w:t>
      </w:r>
    </w:p>
    <w:p w14:paraId="0E274BBF" w14:textId="77777777" w:rsidR="0033402D" w:rsidRDefault="0033402D" w:rsidP="0033402D">
      <w:pPr>
        <w:pStyle w:val="BodyText"/>
        <w:spacing w:before="2"/>
      </w:pPr>
    </w:p>
    <w:p w14:paraId="14918414" w14:textId="77777777" w:rsidR="0033402D" w:rsidRDefault="0033402D" w:rsidP="0033402D">
      <w:pPr>
        <w:pStyle w:val="ListParagraph"/>
        <w:widowControl w:val="0"/>
        <w:numPr>
          <w:ilvl w:val="0"/>
          <w:numId w:val="2"/>
        </w:numPr>
        <w:tabs>
          <w:tab w:val="left" w:pos="644"/>
        </w:tabs>
        <w:autoSpaceDE w:val="0"/>
        <w:autoSpaceDN w:val="0"/>
        <w:ind w:left="643" w:hanging="405"/>
        <w:contextualSpacing w:val="0"/>
      </w:pPr>
      <w:r>
        <w:t>Technical</w:t>
      </w:r>
      <w:r>
        <w:rPr>
          <w:spacing w:val="-1"/>
        </w:rPr>
        <w:t xml:space="preserve"> </w:t>
      </w:r>
      <w:r>
        <w:rPr>
          <w:spacing w:val="-3"/>
        </w:rPr>
        <w:t>Failures</w:t>
      </w:r>
    </w:p>
    <w:p w14:paraId="2D84B4C1" w14:textId="77777777" w:rsidR="0033402D" w:rsidRDefault="0033402D" w:rsidP="0033402D">
      <w:pPr>
        <w:pStyle w:val="BodyText"/>
        <w:spacing w:before="5"/>
        <w:ind w:left="239" w:right="343"/>
      </w:pPr>
      <w:r>
        <w:t>All filers are responsible for any delay, disruption, interruption of electronic signals, and readability of the document and accept the full risk that the document may not be properly filed with the Court as a result.</w:t>
      </w:r>
    </w:p>
    <w:p w14:paraId="57172083" w14:textId="77777777" w:rsidR="0033402D" w:rsidRDefault="0033402D" w:rsidP="0033402D">
      <w:pPr>
        <w:pStyle w:val="BodyText"/>
        <w:spacing w:before="5"/>
      </w:pPr>
    </w:p>
    <w:p w14:paraId="2D47179C" w14:textId="77777777" w:rsidR="0033402D" w:rsidRDefault="0033402D" w:rsidP="0033402D">
      <w:pPr>
        <w:pStyle w:val="ListParagraph"/>
        <w:widowControl w:val="0"/>
        <w:numPr>
          <w:ilvl w:val="0"/>
          <w:numId w:val="2"/>
        </w:numPr>
        <w:tabs>
          <w:tab w:val="left" w:pos="612"/>
        </w:tabs>
        <w:autoSpaceDE w:val="0"/>
        <w:autoSpaceDN w:val="0"/>
        <w:ind w:left="612" w:hanging="313"/>
        <w:contextualSpacing w:val="0"/>
      </w:pPr>
      <w:r>
        <w:t>Hours of</w:t>
      </w:r>
      <w:r>
        <w:rPr>
          <w:spacing w:val="-4"/>
        </w:rPr>
        <w:t xml:space="preserve"> </w:t>
      </w:r>
      <w:r>
        <w:rPr>
          <w:spacing w:val="-3"/>
        </w:rPr>
        <w:t>Operation</w:t>
      </w:r>
    </w:p>
    <w:p w14:paraId="1B61833B" w14:textId="77777777" w:rsidR="0033402D" w:rsidRDefault="0033402D" w:rsidP="0033402D">
      <w:pPr>
        <w:pStyle w:val="BodyText"/>
        <w:ind w:left="239" w:right="410"/>
      </w:pPr>
      <w:r>
        <w:t>The Court receives electronic documents 24 hours per day, seven days per week, regardless of whether or not the Court is actually open. The Eastern Time Zone governs the time of filing, rather than the time zone from which the filing is made.</w:t>
      </w:r>
    </w:p>
    <w:p w14:paraId="06F433D2" w14:textId="77777777" w:rsidR="0033402D" w:rsidRDefault="0033402D" w:rsidP="0033402D">
      <w:pPr>
        <w:pStyle w:val="BodyText"/>
        <w:spacing w:before="5"/>
      </w:pPr>
    </w:p>
    <w:p w14:paraId="6174BA68" w14:textId="77777777" w:rsidR="0033402D" w:rsidRDefault="0033402D" w:rsidP="0033402D">
      <w:pPr>
        <w:pStyle w:val="ListParagraph"/>
        <w:widowControl w:val="0"/>
        <w:numPr>
          <w:ilvl w:val="0"/>
          <w:numId w:val="2"/>
        </w:numPr>
        <w:tabs>
          <w:tab w:val="left" w:pos="576"/>
        </w:tabs>
        <w:autoSpaceDE w:val="0"/>
        <w:autoSpaceDN w:val="0"/>
        <w:ind w:left="576" w:hanging="336"/>
        <w:contextualSpacing w:val="0"/>
      </w:pPr>
      <w:r>
        <w:rPr>
          <w:spacing w:val="-4"/>
        </w:rPr>
        <w:t>Fees</w:t>
      </w:r>
    </w:p>
    <w:p w14:paraId="1B951653" w14:textId="020C9E40" w:rsidR="0033402D" w:rsidRDefault="0033402D" w:rsidP="00FE25BD">
      <w:pPr>
        <w:pStyle w:val="BodyText"/>
        <w:spacing w:before="2"/>
        <w:ind w:left="240" w:right="260"/>
      </w:pPr>
      <w:r>
        <w:t>The Court will assess normal filing fees, and case deposits will be collected via a financial transaction device at the time the filing is processed. Under Section 301.28(E) and</w:t>
      </w:r>
      <w:r>
        <w:rPr>
          <w:spacing w:val="-4"/>
        </w:rPr>
        <w:t xml:space="preserve"> </w:t>
      </w:r>
      <w:r>
        <w:t>(F)</w:t>
      </w:r>
      <w:r>
        <w:rPr>
          <w:spacing w:val="-5"/>
        </w:rPr>
        <w:t xml:space="preserve"> </w:t>
      </w:r>
      <w:r>
        <w:t>of</w:t>
      </w:r>
      <w:r>
        <w:rPr>
          <w:spacing w:val="-4"/>
        </w:rPr>
        <w:t xml:space="preserve"> </w:t>
      </w:r>
      <w:r>
        <w:t>the</w:t>
      </w:r>
      <w:r>
        <w:rPr>
          <w:spacing w:val="-5"/>
        </w:rPr>
        <w:t xml:space="preserve"> </w:t>
      </w:r>
      <w:r>
        <w:t>Ohio</w:t>
      </w:r>
      <w:r>
        <w:rPr>
          <w:spacing w:val="-4"/>
        </w:rPr>
        <w:t xml:space="preserve"> </w:t>
      </w:r>
      <w:r>
        <w:t>Revised</w:t>
      </w:r>
      <w:r>
        <w:rPr>
          <w:spacing w:val="-3"/>
        </w:rPr>
        <w:t xml:space="preserve"> </w:t>
      </w:r>
      <w:r>
        <w:t>Code,</w:t>
      </w:r>
      <w:r>
        <w:rPr>
          <w:spacing w:val="-4"/>
        </w:rPr>
        <w:t xml:space="preserve"> </w:t>
      </w:r>
      <w:r>
        <w:t>a</w:t>
      </w:r>
      <w:r>
        <w:rPr>
          <w:spacing w:val="-5"/>
        </w:rPr>
        <w:t xml:space="preserve"> </w:t>
      </w:r>
      <w:r>
        <w:t>surcharge</w:t>
      </w:r>
      <w:r>
        <w:rPr>
          <w:spacing w:val="-4"/>
        </w:rPr>
        <w:t xml:space="preserve"> </w:t>
      </w:r>
      <w:r>
        <w:t>for</w:t>
      </w:r>
      <w:r>
        <w:rPr>
          <w:spacing w:val="-2"/>
        </w:rPr>
        <w:t xml:space="preserve"> </w:t>
      </w:r>
      <w:r>
        <w:t>using</w:t>
      </w:r>
      <w:r>
        <w:rPr>
          <w:spacing w:val="-9"/>
        </w:rPr>
        <w:t xml:space="preserve"> </w:t>
      </w:r>
      <w:r>
        <w:t>a</w:t>
      </w:r>
      <w:r>
        <w:rPr>
          <w:spacing w:val="-4"/>
        </w:rPr>
        <w:t xml:space="preserve"> </w:t>
      </w:r>
      <w:r>
        <w:t>financial</w:t>
      </w:r>
      <w:r>
        <w:rPr>
          <w:spacing w:val="-3"/>
        </w:rPr>
        <w:t xml:space="preserve"> </w:t>
      </w:r>
      <w:r>
        <w:t>transaction</w:t>
      </w:r>
      <w:r>
        <w:rPr>
          <w:spacing w:val="-4"/>
        </w:rPr>
        <w:t xml:space="preserve"> </w:t>
      </w:r>
      <w:r>
        <w:t>device</w:t>
      </w:r>
      <w:r>
        <w:rPr>
          <w:spacing w:val="-4"/>
        </w:rPr>
        <w:t xml:space="preserve"> </w:t>
      </w:r>
      <w:r>
        <w:t>use</w:t>
      </w:r>
      <w:r w:rsidR="007116B5">
        <w:t xml:space="preserve"> </w:t>
      </w:r>
      <w:r>
        <w:t>may be assessed in an amount to be determined by the Court. The Court will document the receipt of fees on the docket with a text-only entry. The Court will not maintain electronic billing or debit accounts for lawyers or law firms.</w:t>
      </w:r>
    </w:p>
    <w:p w14:paraId="0FDFC058" w14:textId="77777777" w:rsidR="00FE25BD" w:rsidRPr="00FE25BD" w:rsidRDefault="00FE25BD" w:rsidP="00FE25BD">
      <w:pPr>
        <w:pStyle w:val="BodyText"/>
        <w:spacing w:before="2"/>
        <w:ind w:left="240" w:right="260"/>
      </w:pPr>
    </w:p>
    <w:p w14:paraId="1E20AAF1" w14:textId="77777777" w:rsidR="00401F1A" w:rsidRDefault="00401F1A" w:rsidP="007A4998">
      <w:pPr>
        <w:spacing w:line="360" w:lineRule="auto"/>
        <w:ind w:firstLine="720"/>
      </w:pPr>
    </w:p>
    <w:p w14:paraId="664A9652" w14:textId="77777777" w:rsidR="001B507D" w:rsidRDefault="001B507D" w:rsidP="00401F1A">
      <w:pPr>
        <w:ind w:firstLine="720"/>
      </w:pPr>
    </w:p>
    <w:p w14:paraId="5675BF86" w14:textId="77777777" w:rsidR="001B507D" w:rsidRDefault="001B507D" w:rsidP="00401F1A">
      <w:pPr>
        <w:ind w:firstLine="720"/>
      </w:pPr>
    </w:p>
    <w:p w14:paraId="2C625BA9" w14:textId="28011494" w:rsidR="006D60CD" w:rsidRPr="001B507D" w:rsidRDefault="00831BFC" w:rsidP="00530ACA">
      <w:pPr>
        <w:rPr>
          <w:b/>
        </w:rPr>
      </w:pPr>
      <w:r>
        <w:tab/>
      </w:r>
      <w:r>
        <w:tab/>
      </w:r>
      <w:r>
        <w:tab/>
      </w:r>
      <w:r>
        <w:tab/>
      </w:r>
      <w:r>
        <w:tab/>
      </w:r>
      <w:r>
        <w:tab/>
      </w:r>
    </w:p>
    <w:sectPr w:rsidR="006D60CD" w:rsidRPr="001B50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35D33"/>
    <w:multiLevelType w:val="hybridMultilevel"/>
    <w:tmpl w:val="46E4FAEC"/>
    <w:lvl w:ilvl="0" w:tplc="BCF471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A344806"/>
    <w:multiLevelType w:val="hybridMultilevel"/>
    <w:tmpl w:val="BE6CE0EC"/>
    <w:lvl w:ilvl="0" w:tplc="4F003466">
      <w:start w:val="1"/>
      <w:numFmt w:val="upperLetter"/>
      <w:lvlText w:val="(%1)"/>
      <w:lvlJc w:val="left"/>
      <w:pPr>
        <w:ind w:left="631" w:hanging="392"/>
        <w:jc w:val="left"/>
      </w:pPr>
      <w:rPr>
        <w:rFonts w:ascii="Times New Roman" w:eastAsia="Times New Roman" w:hAnsi="Times New Roman" w:cs="Times New Roman" w:hint="default"/>
        <w:b/>
        <w:bCs/>
        <w:spacing w:val="-1"/>
        <w:w w:val="100"/>
        <w:sz w:val="24"/>
        <w:szCs w:val="24"/>
        <w:lang w:val="en-US" w:eastAsia="en-US" w:bidi="en-US"/>
      </w:rPr>
    </w:lvl>
    <w:lvl w:ilvl="1" w:tplc="9EFCB5E0">
      <w:start w:val="1"/>
      <w:numFmt w:val="decimal"/>
      <w:lvlText w:val="(%2)"/>
      <w:lvlJc w:val="left"/>
      <w:pPr>
        <w:ind w:left="960" w:hanging="336"/>
        <w:jc w:val="left"/>
      </w:pPr>
      <w:rPr>
        <w:rFonts w:ascii="Times New Roman" w:eastAsia="Times New Roman" w:hAnsi="Times New Roman" w:cs="Times New Roman" w:hint="default"/>
        <w:spacing w:val="-1"/>
        <w:w w:val="100"/>
        <w:sz w:val="24"/>
        <w:szCs w:val="24"/>
        <w:lang w:val="en-US" w:eastAsia="en-US" w:bidi="en-US"/>
      </w:rPr>
    </w:lvl>
    <w:lvl w:ilvl="2" w:tplc="053657FE">
      <w:start w:val="1"/>
      <w:numFmt w:val="lowerLetter"/>
      <w:lvlText w:val="(%3)"/>
      <w:lvlJc w:val="left"/>
      <w:pPr>
        <w:ind w:left="960" w:hanging="324"/>
        <w:jc w:val="left"/>
      </w:pPr>
      <w:rPr>
        <w:rFonts w:ascii="Times New Roman" w:eastAsia="Times New Roman" w:hAnsi="Times New Roman" w:cs="Times New Roman" w:hint="default"/>
        <w:spacing w:val="-1"/>
        <w:w w:val="100"/>
        <w:sz w:val="24"/>
        <w:szCs w:val="24"/>
        <w:lang w:val="en-US" w:eastAsia="en-US" w:bidi="en-US"/>
      </w:rPr>
    </w:lvl>
    <w:lvl w:ilvl="3" w:tplc="04880F5E">
      <w:numFmt w:val="bullet"/>
      <w:lvlText w:val="•"/>
      <w:lvlJc w:val="left"/>
      <w:pPr>
        <w:ind w:left="2275" w:hanging="324"/>
      </w:pPr>
      <w:rPr>
        <w:rFonts w:hint="default"/>
        <w:lang w:val="en-US" w:eastAsia="en-US" w:bidi="en-US"/>
      </w:rPr>
    </w:lvl>
    <w:lvl w:ilvl="4" w:tplc="F9B2CD3E">
      <w:numFmt w:val="bullet"/>
      <w:lvlText w:val="•"/>
      <w:lvlJc w:val="left"/>
      <w:pPr>
        <w:ind w:left="3250" w:hanging="324"/>
      </w:pPr>
      <w:rPr>
        <w:rFonts w:hint="default"/>
        <w:lang w:val="en-US" w:eastAsia="en-US" w:bidi="en-US"/>
      </w:rPr>
    </w:lvl>
    <w:lvl w:ilvl="5" w:tplc="3DD231C2">
      <w:numFmt w:val="bullet"/>
      <w:lvlText w:val="•"/>
      <w:lvlJc w:val="left"/>
      <w:pPr>
        <w:ind w:left="4225" w:hanging="324"/>
      </w:pPr>
      <w:rPr>
        <w:rFonts w:hint="default"/>
        <w:lang w:val="en-US" w:eastAsia="en-US" w:bidi="en-US"/>
      </w:rPr>
    </w:lvl>
    <w:lvl w:ilvl="6" w:tplc="44E6A1C0">
      <w:numFmt w:val="bullet"/>
      <w:lvlText w:val="•"/>
      <w:lvlJc w:val="left"/>
      <w:pPr>
        <w:ind w:left="5200" w:hanging="324"/>
      </w:pPr>
      <w:rPr>
        <w:rFonts w:hint="default"/>
        <w:lang w:val="en-US" w:eastAsia="en-US" w:bidi="en-US"/>
      </w:rPr>
    </w:lvl>
    <w:lvl w:ilvl="7" w:tplc="B78E3320">
      <w:numFmt w:val="bullet"/>
      <w:lvlText w:val="•"/>
      <w:lvlJc w:val="left"/>
      <w:pPr>
        <w:ind w:left="6175" w:hanging="324"/>
      </w:pPr>
      <w:rPr>
        <w:rFonts w:hint="default"/>
        <w:lang w:val="en-US" w:eastAsia="en-US" w:bidi="en-US"/>
      </w:rPr>
    </w:lvl>
    <w:lvl w:ilvl="8" w:tplc="98D240FA">
      <w:numFmt w:val="bullet"/>
      <w:lvlText w:val="•"/>
      <w:lvlJc w:val="left"/>
      <w:pPr>
        <w:ind w:left="7150" w:hanging="324"/>
      </w:pPr>
      <w:rPr>
        <w:rFonts w:hint="default"/>
        <w:lang w:val="en-US" w:eastAsia="en-US" w:bidi="en-US"/>
      </w:rPr>
    </w:lvl>
  </w:abstractNum>
  <w:num w:numId="1" w16cid:durableId="1402677075">
    <w:abstractNumId w:val="0"/>
  </w:num>
  <w:num w:numId="2" w16cid:durableId="564150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FC"/>
    <w:rsid w:val="00002C61"/>
    <w:rsid w:val="00011142"/>
    <w:rsid w:val="00013FBE"/>
    <w:rsid w:val="00046FBB"/>
    <w:rsid w:val="00072B39"/>
    <w:rsid w:val="00075EC1"/>
    <w:rsid w:val="00085620"/>
    <w:rsid w:val="00086110"/>
    <w:rsid w:val="0009018A"/>
    <w:rsid w:val="000A10D5"/>
    <w:rsid w:val="000E1D13"/>
    <w:rsid w:val="00120564"/>
    <w:rsid w:val="00130FD2"/>
    <w:rsid w:val="00132090"/>
    <w:rsid w:val="00134345"/>
    <w:rsid w:val="0014002B"/>
    <w:rsid w:val="001473A4"/>
    <w:rsid w:val="001504C3"/>
    <w:rsid w:val="00182DC4"/>
    <w:rsid w:val="00191375"/>
    <w:rsid w:val="001B344B"/>
    <w:rsid w:val="001B507D"/>
    <w:rsid w:val="001C5884"/>
    <w:rsid w:val="001E1281"/>
    <w:rsid w:val="00252A26"/>
    <w:rsid w:val="00257836"/>
    <w:rsid w:val="00266F9A"/>
    <w:rsid w:val="00271DC5"/>
    <w:rsid w:val="00290D2D"/>
    <w:rsid w:val="00293C00"/>
    <w:rsid w:val="002E0C48"/>
    <w:rsid w:val="002E2E17"/>
    <w:rsid w:val="002F0F82"/>
    <w:rsid w:val="002F5184"/>
    <w:rsid w:val="00307D2E"/>
    <w:rsid w:val="00313974"/>
    <w:rsid w:val="00332045"/>
    <w:rsid w:val="0033402D"/>
    <w:rsid w:val="00354519"/>
    <w:rsid w:val="003555FE"/>
    <w:rsid w:val="00365D26"/>
    <w:rsid w:val="0036633B"/>
    <w:rsid w:val="00386891"/>
    <w:rsid w:val="003902F9"/>
    <w:rsid w:val="003A46E7"/>
    <w:rsid w:val="003C0106"/>
    <w:rsid w:val="003C6367"/>
    <w:rsid w:val="003D0945"/>
    <w:rsid w:val="003E3CD7"/>
    <w:rsid w:val="00401F1A"/>
    <w:rsid w:val="00403347"/>
    <w:rsid w:val="00415331"/>
    <w:rsid w:val="004446EB"/>
    <w:rsid w:val="00454E9B"/>
    <w:rsid w:val="00465A5C"/>
    <w:rsid w:val="00466C49"/>
    <w:rsid w:val="004A3EC3"/>
    <w:rsid w:val="004B1ED9"/>
    <w:rsid w:val="004B2A2D"/>
    <w:rsid w:val="004E2455"/>
    <w:rsid w:val="004F2E93"/>
    <w:rsid w:val="004F5CC4"/>
    <w:rsid w:val="005152F6"/>
    <w:rsid w:val="005215F5"/>
    <w:rsid w:val="00521CBB"/>
    <w:rsid w:val="00530ACA"/>
    <w:rsid w:val="00540467"/>
    <w:rsid w:val="00555AC0"/>
    <w:rsid w:val="00572BEF"/>
    <w:rsid w:val="00574397"/>
    <w:rsid w:val="0059120E"/>
    <w:rsid w:val="005D3578"/>
    <w:rsid w:val="005E78DD"/>
    <w:rsid w:val="005F0B21"/>
    <w:rsid w:val="00631995"/>
    <w:rsid w:val="0064524F"/>
    <w:rsid w:val="00651119"/>
    <w:rsid w:val="006529D7"/>
    <w:rsid w:val="00661490"/>
    <w:rsid w:val="00667B21"/>
    <w:rsid w:val="006A499C"/>
    <w:rsid w:val="006D18C7"/>
    <w:rsid w:val="006D60CD"/>
    <w:rsid w:val="006E2D75"/>
    <w:rsid w:val="00710416"/>
    <w:rsid w:val="007116B5"/>
    <w:rsid w:val="00714AF2"/>
    <w:rsid w:val="007343AA"/>
    <w:rsid w:val="007441A4"/>
    <w:rsid w:val="007463AD"/>
    <w:rsid w:val="0075537B"/>
    <w:rsid w:val="00765AF1"/>
    <w:rsid w:val="007676EC"/>
    <w:rsid w:val="00782D3A"/>
    <w:rsid w:val="00795162"/>
    <w:rsid w:val="007A4998"/>
    <w:rsid w:val="007A534B"/>
    <w:rsid w:val="007B2D75"/>
    <w:rsid w:val="007B5523"/>
    <w:rsid w:val="007D7159"/>
    <w:rsid w:val="007F693F"/>
    <w:rsid w:val="00815E19"/>
    <w:rsid w:val="008246AB"/>
    <w:rsid w:val="008272A9"/>
    <w:rsid w:val="00831BFC"/>
    <w:rsid w:val="008324BC"/>
    <w:rsid w:val="00847514"/>
    <w:rsid w:val="00851EB2"/>
    <w:rsid w:val="00856884"/>
    <w:rsid w:val="0086567B"/>
    <w:rsid w:val="0089551C"/>
    <w:rsid w:val="008A4749"/>
    <w:rsid w:val="008F1F1A"/>
    <w:rsid w:val="008F75DD"/>
    <w:rsid w:val="0090032B"/>
    <w:rsid w:val="009007F9"/>
    <w:rsid w:val="009143E1"/>
    <w:rsid w:val="0092358F"/>
    <w:rsid w:val="00923BC4"/>
    <w:rsid w:val="00927397"/>
    <w:rsid w:val="00931BE9"/>
    <w:rsid w:val="00944BA2"/>
    <w:rsid w:val="00966C50"/>
    <w:rsid w:val="0096723A"/>
    <w:rsid w:val="009856CA"/>
    <w:rsid w:val="009A3143"/>
    <w:rsid w:val="009A55B1"/>
    <w:rsid w:val="009A7F1D"/>
    <w:rsid w:val="009C3EFB"/>
    <w:rsid w:val="009C6084"/>
    <w:rsid w:val="009D7447"/>
    <w:rsid w:val="009E3828"/>
    <w:rsid w:val="00A06FC9"/>
    <w:rsid w:val="00A07B37"/>
    <w:rsid w:val="00A1130E"/>
    <w:rsid w:val="00A11CA1"/>
    <w:rsid w:val="00A20F2D"/>
    <w:rsid w:val="00A24591"/>
    <w:rsid w:val="00A24BF4"/>
    <w:rsid w:val="00A2635C"/>
    <w:rsid w:val="00A3264E"/>
    <w:rsid w:val="00A51649"/>
    <w:rsid w:val="00A86CA9"/>
    <w:rsid w:val="00AA46CE"/>
    <w:rsid w:val="00AB0E84"/>
    <w:rsid w:val="00AB5A10"/>
    <w:rsid w:val="00AC0C60"/>
    <w:rsid w:val="00AE6059"/>
    <w:rsid w:val="00AF59C3"/>
    <w:rsid w:val="00B007FA"/>
    <w:rsid w:val="00B31C99"/>
    <w:rsid w:val="00B4423F"/>
    <w:rsid w:val="00B55C32"/>
    <w:rsid w:val="00B62B11"/>
    <w:rsid w:val="00B64EA7"/>
    <w:rsid w:val="00B70EDD"/>
    <w:rsid w:val="00B73A14"/>
    <w:rsid w:val="00B741EC"/>
    <w:rsid w:val="00B768C3"/>
    <w:rsid w:val="00B8476B"/>
    <w:rsid w:val="00BA5F57"/>
    <w:rsid w:val="00BC2888"/>
    <w:rsid w:val="00BC29DF"/>
    <w:rsid w:val="00BC5BC2"/>
    <w:rsid w:val="00BD73AE"/>
    <w:rsid w:val="00BE0211"/>
    <w:rsid w:val="00BE1360"/>
    <w:rsid w:val="00BE3DD0"/>
    <w:rsid w:val="00BF3646"/>
    <w:rsid w:val="00BF39D6"/>
    <w:rsid w:val="00C15F1F"/>
    <w:rsid w:val="00C17436"/>
    <w:rsid w:val="00C3238D"/>
    <w:rsid w:val="00C37EB3"/>
    <w:rsid w:val="00C41057"/>
    <w:rsid w:val="00C74239"/>
    <w:rsid w:val="00C97B44"/>
    <w:rsid w:val="00CC52C1"/>
    <w:rsid w:val="00CD39D1"/>
    <w:rsid w:val="00CE0DFA"/>
    <w:rsid w:val="00CE2E26"/>
    <w:rsid w:val="00CE71A6"/>
    <w:rsid w:val="00CF1D35"/>
    <w:rsid w:val="00CF4E95"/>
    <w:rsid w:val="00D06CC9"/>
    <w:rsid w:val="00D55BA3"/>
    <w:rsid w:val="00D720AD"/>
    <w:rsid w:val="00D8361F"/>
    <w:rsid w:val="00D85FAF"/>
    <w:rsid w:val="00DB2ED5"/>
    <w:rsid w:val="00DB72F6"/>
    <w:rsid w:val="00DC6715"/>
    <w:rsid w:val="00DD0472"/>
    <w:rsid w:val="00DD500A"/>
    <w:rsid w:val="00DE0415"/>
    <w:rsid w:val="00E0213A"/>
    <w:rsid w:val="00E0591B"/>
    <w:rsid w:val="00E07053"/>
    <w:rsid w:val="00E25653"/>
    <w:rsid w:val="00E37F30"/>
    <w:rsid w:val="00E53523"/>
    <w:rsid w:val="00E5739C"/>
    <w:rsid w:val="00E72729"/>
    <w:rsid w:val="00E818B8"/>
    <w:rsid w:val="00E860CA"/>
    <w:rsid w:val="00EA6790"/>
    <w:rsid w:val="00EA7E6B"/>
    <w:rsid w:val="00EB4055"/>
    <w:rsid w:val="00ED20E8"/>
    <w:rsid w:val="00EE10BE"/>
    <w:rsid w:val="00EE2DD3"/>
    <w:rsid w:val="00EF11F9"/>
    <w:rsid w:val="00EF4A2E"/>
    <w:rsid w:val="00F0095B"/>
    <w:rsid w:val="00F03A17"/>
    <w:rsid w:val="00F35784"/>
    <w:rsid w:val="00F40ADD"/>
    <w:rsid w:val="00F40B8F"/>
    <w:rsid w:val="00F41507"/>
    <w:rsid w:val="00F66EDF"/>
    <w:rsid w:val="00F87D58"/>
    <w:rsid w:val="00FA354C"/>
    <w:rsid w:val="00FA6D1C"/>
    <w:rsid w:val="00FB0341"/>
    <w:rsid w:val="00FB0D02"/>
    <w:rsid w:val="00FD7A68"/>
    <w:rsid w:val="00FE25BD"/>
    <w:rsid w:val="00FF0142"/>
    <w:rsid w:val="00FF4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51AB9"/>
  <w15:chartTrackingRefBased/>
  <w15:docId w15:val="{8B524B0C-D922-466B-B80C-523076AFB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B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4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467"/>
    <w:rPr>
      <w:rFonts w:ascii="Segoe UI" w:eastAsia="Times New Roman" w:hAnsi="Segoe UI" w:cs="Segoe UI"/>
      <w:sz w:val="18"/>
      <w:szCs w:val="18"/>
    </w:rPr>
  </w:style>
  <w:style w:type="paragraph" w:styleId="ListParagraph">
    <w:name w:val="List Paragraph"/>
    <w:basedOn w:val="Normal"/>
    <w:uiPriority w:val="1"/>
    <w:qFormat/>
    <w:rsid w:val="00085620"/>
    <w:pPr>
      <w:ind w:left="720"/>
      <w:contextualSpacing/>
    </w:pPr>
  </w:style>
  <w:style w:type="paragraph" w:styleId="BodyText">
    <w:name w:val="Body Text"/>
    <w:basedOn w:val="Normal"/>
    <w:link w:val="BodyTextChar"/>
    <w:uiPriority w:val="1"/>
    <w:qFormat/>
    <w:rsid w:val="0033402D"/>
    <w:pPr>
      <w:widowControl w:val="0"/>
      <w:autoSpaceDE w:val="0"/>
      <w:autoSpaceDN w:val="0"/>
    </w:pPr>
    <w:rPr>
      <w:lang w:bidi="en-US"/>
    </w:rPr>
  </w:style>
  <w:style w:type="character" w:customStyle="1" w:styleId="BodyTextChar">
    <w:name w:val="Body Text Char"/>
    <w:basedOn w:val="DefaultParagraphFont"/>
    <w:link w:val="BodyText"/>
    <w:uiPriority w:val="1"/>
    <w:rsid w:val="0033402D"/>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DAA5A-3965-4DA9-A6BE-4023FCBEF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Kaiser, Lamont</dc:creator>
  <cp:keywords/>
  <dc:description/>
  <cp:lastModifiedBy>Lovelien, Renee</cp:lastModifiedBy>
  <cp:revision>4</cp:revision>
  <cp:lastPrinted>2022-06-28T17:55:00Z</cp:lastPrinted>
  <dcterms:created xsi:type="dcterms:W3CDTF">2025-04-22T18:19:00Z</dcterms:created>
  <dcterms:modified xsi:type="dcterms:W3CDTF">2025-04-22T18:25:00Z</dcterms:modified>
</cp:coreProperties>
</file>